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40C64" w14:textId="77777777" w:rsidR="00E870FA" w:rsidRDefault="00E870FA" w:rsidP="00E870FA">
      <w:pPr>
        <w:jc w:val="center"/>
        <w:rPr>
          <w:b/>
          <w:bCs/>
        </w:rPr>
      </w:pPr>
      <w:r>
        <w:rPr>
          <w:rFonts w:hint="eastAsia"/>
          <w:b/>
          <w:bCs/>
        </w:rPr>
        <w:t>「</w:t>
      </w:r>
      <w:r w:rsidRPr="00E870FA">
        <w:rPr>
          <w:b/>
          <w:bCs/>
        </w:rPr>
        <w:t>令和２事務年度の関税等の申告に係る輸入事後調査の結果</w:t>
      </w:r>
      <w:r>
        <w:rPr>
          <w:rFonts w:hint="eastAsia"/>
          <w:b/>
          <w:bCs/>
        </w:rPr>
        <w:t>」</w:t>
      </w:r>
    </w:p>
    <w:p w14:paraId="7BBC24FA" w14:textId="77777777" w:rsidR="00E870FA" w:rsidRDefault="00E870FA" w:rsidP="00E870FA">
      <w:pPr>
        <w:rPr>
          <w:b/>
          <w:bCs/>
        </w:rPr>
      </w:pPr>
    </w:p>
    <w:p w14:paraId="7BE3840D" w14:textId="77777777" w:rsidR="00E870FA" w:rsidRPr="00E870FA" w:rsidRDefault="00E870FA" w:rsidP="00E870FA">
      <w:pPr>
        <w:rPr>
          <w:b/>
          <w:bCs/>
        </w:rPr>
      </w:pPr>
    </w:p>
    <w:p w14:paraId="624DE307" w14:textId="77777777" w:rsidR="00E870FA" w:rsidRPr="00E870FA" w:rsidRDefault="00E870FA" w:rsidP="00E870FA">
      <w:r w:rsidRPr="00E870FA">
        <w:t>財務省は、令和２事務年度（令和２年７月から令和３年６月までの１年間）に、全国の税関が輸入者の関税及び内国消費税</w:t>
      </w:r>
      <w:r w:rsidRPr="00E870FA">
        <w:rPr>
          <w:vertAlign w:val="superscript"/>
        </w:rPr>
        <w:t>(</w:t>
      </w:r>
      <w:r w:rsidRPr="00E870FA">
        <w:rPr>
          <w:vertAlign w:val="superscript"/>
        </w:rPr>
        <w:t>注１</w:t>
      </w:r>
      <w:r w:rsidRPr="00E870FA">
        <w:rPr>
          <w:vertAlign w:val="superscript"/>
        </w:rPr>
        <w:t>)</w:t>
      </w:r>
      <w:r w:rsidRPr="00E870FA">
        <w:t>（以下「関税等」という。）の輸入申告に対する事後調査</w:t>
      </w:r>
      <w:r w:rsidRPr="00E870FA">
        <w:rPr>
          <w:vertAlign w:val="superscript"/>
        </w:rPr>
        <w:t>(</w:t>
      </w:r>
      <w:r w:rsidRPr="00E870FA">
        <w:rPr>
          <w:vertAlign w:val="superscript"/>
        </w:rPr>
        <w:t>注２</w:t>
      </w:r>
      <w:r w:rsidRPr="00E870FA">
        <w:rPr>
          <w:vertAlign w:val="superscript"/>
        </w:rPr>
        <w:t>)</w:t>
      </w:r>
      <w:r w:rsidRPr="00E870FA">
        <w:t>を行った結果をまとめましたのでお知らせします。</w:t>
      </w:r>
    </w:p>
    <w:p w14:paraId="610B6A91" w14:textId="77777777" w:rsidR="00E870FA" w:rsidRPr="00E870FA" w:rsidRDefault="00E870FA" w:rsidP="00E870FA">
      <w:pPr>
        <w:numPr>
          <w:ilvl w:val="0"/>
          <w:numId w:val="1"/>
        </w:numPr>
      </w:pPr>
      <w:r w:rsidRPr="00E870FA">
        <w:t>令和２事務年度は、</w:t>
      </w:r>
      <w:r w:rsidRPr="00E870FA">
        <w:t>715</w:t>
      </w:r>
      <w:r w:rsidRPr="00E870FA">
        <w:t>者（前事務年度比</w:t>
      </w:r>
      <w:r w:rsidRPr="00E870FA">
        <w:t>21.3</w:t>
      </w:r>
      <w:r w:rsidRPr="00E870FA">
        <w:t>％）の輸入者に対して事後調査を行いました。</w:t>
      </w:r>
    </w:p>
    <w:p w14:paraId="0E043384" w14:textId="77777777" w:rsidR="00E870FA" w:rsidRPr="00E870FA" w:rsidRDefault="00E870FA" w:rsidP="00E870FA">
      <w:pPr>
        <w:numPr>
          <w:ilvl w:val="0"/>
          <w:numId w:val="1"/>
        </w:numPr>
      </w:pPr>
      <w:r w:rsidRPr="00E870FA">
        <w:t>事後調査の結果、申告漏れ等</w:t>
      </w:r>
      <w:r w:rsidRPr="00E870FA">
        <w:rPr>
          <w:vertAlign w:val="superscript"/>
        </w:rPr>
        <w:t>(</w:t>
      </w:r>
      <w:r w:rsidRPr="00E870FA">
        <w:rPr>
          <w:vertAlign w:val="superscript"/>
        </w:rPr>
        <w:t>注３</w:t>
      </w:r>
      <w:r w:rsidRPr="00E870FA">
        <w:rPr>
          <w:vertAlign w:val="superscript"/>
        </w:rPr>
        <w:t>)</w:t>
      </w:r>
      <w:r w:rsidRPr="00E870FA">
        <w:t>のあった輸入者は</w:t>
      </w:r>
      <w:r w:rsidRPr="00E870FA">
        <w:t>600</w:t>
      </w:r>
      <w:r w:rsidRPr="00E870FA">
        <w:t>者（前事務年度比</w:t>
      </w:r>
      <w:r w:rsidRPr="00E870FA">
        <w:t>22.0</w:t>
      </w:r>
      <w:r w:rsidRPr="00E870FA">
        <w:t>％）でした。</w:t>
      </w:r>
    </w:p>
    <w:p w14:paraId="52390593" w14:textId="77777777" w:rsidR="00E870FA" w:rsidRPr="00E870FA" w:rsidRDefault="00E870FA" w:rsidP="00E870FA">
      <w:pPr>
        <w:numPr>
          <w:ilvl w:val="0"/>
          <w:numId w:val="1"/>
        </w:numPr>
      </w:pPr>
      <w:r w:rsidRPr="00E870FA">
        <w:t>申告漏れ等に係る課税価格は約</w:t>
      </w:r>
      <w:r w:rsidRPr="00E870FA">
        <w:t>630</w:t>
      </w:r>
      <w:r w:rsidRPr="00E870FA">
        <w:t>億７千万円（前事務年度比</w:t>
      </w:r>
      <w:r w:rsidRPr="00E870FA">
        <w:t>51.2</w:t>
      </w:r>
      <w:r w:rsidRPr="00E870FA">
        <w:t>％）となり、これに対する関税等の追徴税額</w:t>
      </w:r>
      <w:r w:rsidRPr="00E870FA">
        <w:rPr>
          <w:vertAlign w:val="superscript"/>
        </w:rPr>
        <w:t>(</w:t>
      </w:r>
      <w:r w:rsidRPr="00E870FA">
        <w:rPr>
          <w:vertAlign w:val="superscript"/>
        </w:rPr>
        <w:t>注４</w:t>
      </w:r>
      <w:r w:rsidRPr="00E870FA">
        <w:rPr>
          <w:vertAlign w:val="superscript"/>
        </w:rPr>
        <w:t>)</w:t>
      </w:r>
      <w:r w:rsidRPr="00E870FA">
        <w:t>は約</w:t>
      </w:r>
      <w:r w:rsidRPr="00E870FA">
        <w:t>67</w:t>
      </w:r>
      <w:r w:rsidRPr="00E870FA">
        <w:t>億円（前事務年度比</w:t>
      </w:r>
      <w:r w:rsidRPr="00E870FA">
        <w:t>57.4</w:t>
      </w:r>
      <w:r w:rsidRPr="00E870FA">
        <w:t>％）、追徴税額のうち重加算税額は約１億３千万円（前事務年度比</w:t>
      </w:r>
      <w:r w:rsidRPr="00E870FA">
        <w:t>234.1</w:t>
      </w:r>
      <w:r w:rsidRPr="00E870FA">
        <w:t>％）でした。</w:t>
      </w:r>
    </w:p>
    <w:p w14:paraId="7097C233" w14:textId="77777777" w:rsidR="00E870FA" w:rsidRPr="00E870FA" w:rsidRDefault="00E870FA" w:rsidP="00E870FA">
      <w:pPr>
        <w:numPr>
          <w:ilvl w:val="0"/>
          <w:numId w:val="1"/>
        </w:numPr>
      </w:pPr>
      <w:r w:rsidRPr="00E870FA">
        <w:t>納付税額の不足が多かった品目は、</w:t>
      </w:r>
      <w:r w:rsidRPr="00E870FA">
        <w:rPr>
          <w:noProof/>
        </w:rPr>
        <w:drawing>
          <wp:inline distT="0" distB="0" distL="0" distR="0" wp14:anchorId="18BADF5F" wp14:editId="5417F409">
            <wp:extent cx="123825" cy="123825"/>
            <wp:effectExtent l="0" t="0" r="9525" b="9525"/>
            <wp:docPr id="10" name="図 10"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E870FA">
        <w:t>光学機器等、</w:t>
      </w:r>
      <w:r w:rsidRPr="00E870FA">
        <w:rPr>
          <w:noProof/>
        </w:rPr>
        <w:drawing>
          <wp:inline distT="0" distB="0" distL="0" distR="0" wp14:anchorId="35F9E3C6" wp14:editId="4EA3E8FD">
            <wp:extent cx="123825" cy="123825"/>
            <wp:effectExtent l="0" t="0" r="9525" b="9525"/>
            <wp:docPr id="9" name="図 9"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E870FA">
        <w:t>電気機器、</w:t>
      </w:r>
      <w:r w:rsidRPr="00E870FA">
        <w:rPr>
          <w:noProof/>
        </w:rPr>
        <w:drawing>
          <wp:inline distT="0" distB="0" distL="0" distR="0" wp14:anchorId="012E0562" wp14:editId="5D91416A">
            <wp:extent cx="123825" cy="123825"/>
            <wp:effectExtent l="0" t="0" r="9525" b="9525"/>
            <wp:docPr id="8" name="図 8"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E870FA">
        <w:t>機械類、</w:t>
      </w:r>
      <w:r w:rsidRPr="00E870FA">
        <w:rPr>
          <w:noProof/>
        </w:rPr>
        <w:drawing>
          <wp:inline distT="0" distB="0" distL="0" distR="0" wp14:anchorId="28875DEC" wp14:editId="6C2AE094">
            <wp:extent cx="123825" cy="123825"/>
            <wp:effectExtent l="0" t="0" r="9525" b="9525"/>
            <wp:docPr id="7" name="図 7"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E870FA">
        <w:t>糖類、</w:t>
      </w:r>
      <w:r w:rsidRPr="00E870FA">
        <w:rPr>
          <w:noProof/>
        </w:rPr>
        <w:drawing>
          <wp:inline distT="0" distB="0" distL="0" distR="0" wp14:anchorId="43F6704C" wp14:editId="603EE80D">
            <wp:extent cx="123825" cy="123825"/>
            <wp:effectExtent l="0" t="0" r="9525" b="9525"/>
            <wp:docPr id="6" name="図 6"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E870FA">
        <w:t>織物衣類であり、これら５品目で、納付不足税額の総額の約</w:t>
      </w:r>
      <w:r w:rsidRPr="00E870FA">
        <w:t>65</w:t>
      </w:r>
      <w:r w:rsidRPr="00E870FA">
        <w:t>％を占めました。</w:t>
      </w:r>
    </w:p>
    <w:p w14:paraId="09020AA7" w14:textId="77777777" w:rsidR="00E870FA" w:rsidRPr="00E870FA" w:rsidRDefault="00E870FA" w:rsidP="00E870FA">
      <w:pPr>
        <w:numPr>
          <w:ilvl w:val="0"/>
          <w:numId w:val="1"/>
        </w:numPr>
      </w:pPr>
      <w:r w:rsidRPr="00E870FA">
        <w:t>主な申告漏れ等の事例としては、</w:t>
      </w:r>
      <w:r w:rsidRPr="00E870FA">
        <w:rPr>
          <w:noProof/>
        </w:rPr>
        <w:drawing>
          <wp:inline distT="0" distB="0" distL="0" distR="0" wp14:anchorId="68592FC2" wp14:editId="408A1B0A">
            <wp:extent cx="123825" cy="123825"/>
            <wp:effectExtent l="0" t="0" r="9525" b="9525"/>
            <wp:docPr id="5" name="図 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E870FA">
        <w:t>輸出者又は輸入者が作成した低価インボイスによる輸入申告、</w:t>
      </w:r>
      <w:r w:rsidRPr="00E870FA">
        <w:rPr>
          <w:noProof/>
        </w:rPr>
        <w:drawing>
          <wp:inline distT="0" distB="0" distL="0" distR="0" wp14:anchorId="0D3C2840" wp14:editId="57E0DC04">
            <wp:extent cx="123825" cy="123825"/>
            <wp:effectExtent l="0" t="0" r="9525" b="9525"/>
            <wp:docPr id="4" name="図 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E870FA">
        <w:t>輸入者が提供した部材の金型費用の申告漏れ、</w:t>
      </w:r>
      <w:r w:rsidRPr="00E870FA">
        <w:rPr>
          <w:noProof/>
        </w:rPr>
        <w:drawing>
          <wp:inline distT="0" distB="0" distL="0" distR="0" wp14:anchorId="68656B34" wp14:editId="15CE9D5C">
            <wp:extent cx="123825" cy="123825"/>
            <wp:effectExtent l="0" t="0" r="9525" b="9525"/>
            <wp:docPr id="3" name="図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E870FA">
        <w:t>非居住者からの委託を受けて輸入される貨物の申告誤り等がありました。</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0"/>
        <w:gridCol w:w="563"/>
        <w:gridCol w:w="270"/>
        <w:gridCol w:w="7261"/>
      </w:tblGrid>
      <w:tr w:rsidR="00E870FA" w:rsidRPr="00E870FA" w14:paraId="5C908891" w14:textId="77777777" w:rsidTr="00E870FA">
        <w:trPr>
          <w:tblCellSpacing w:w="15" w:type="dxa"/>
        </w:trPr>
        <w:tc>
          <w:tcPr>
            <w:tcW w:w="250" w:type="pct"/>
            <w:hideMark/>
          </w:tcPr>
          <w:p w14:paraId="2E5F6057" w14:textId="77777777" w:rsidR="00E870FA" w:rsidRPr="00E870FA" w:rsidRDefault="00E870FA" w:rsidP="00E870FA">
            <w:r w:rsidRPr="00E870FA">
              <w:t>(</w:t>
            </w:r>
            <w:r w:rsidRPr="00E870FA">
              <w:t>注１</w:t>
            </w:r>
            <w:r w:rsidRPr="00E870FA">
              <w:t>)</w:t>
            </w:r>
          </w:p>
        </w:tc>
        <w:tc>
          <w:tcPr>
            <w:tcW w:w="350" w:type="pct"/>
            <w:hideMark/>
          </w:tcPr>
          <w:p w14:paraId="1BFFC1E0" w14:textId="77777777" w:rsidR="00E870FA" w:rsidRPr="00E870FA" w:rsidRDefault="00E870FA" w:rsidP="00E870FA">
            <w:r w:rsidRPr="00E870FA">
              <w:t>内国消費税</w:t>
            </w:r>
          </w:p>
        </w:tc>
        <w:tc>
          <w:tcPr>
            <w:tcW w:w="50" w:type="pct"/>
            <w:hideMark/>
          </w:tcPr>
          <w:p w14:paraId="3DBD60CD" w14:textId="77777777" w:rsidR="00E870FA" w:rsidRPr="00E870FA" w:rsidRDefault="00E870FA" w:rsidP="00E870FA">
            <w:r w:rsidRPr="00E870FA">
              <w:t>：</w:t>
            </w:r>
          </w:p>
        </w:tc>
        <w:tc>
          <w:tcPr>
            <w:tcW w:w="4350" w:type="pct"/>
            <w:hideMark/>
          </w:tcPr>
          <w:p w14:paraId="25377BAE" w14:textId="77777777" w:rsidR="00E870FA" w:rsidRPr="00E870FA" w:rsidRDefault="00E870FA" w:rsidP="00E870FA">
            <w:r w:rsidRPr="00E870FA">
              <w:t>輸入貨物に課される消費税、酒税、たばこ税等の間接税をいいます。</w:t>
            </w:r>
          </w:p>
        </w:tc>
      </w:tr>
      <w:tr w:rsidR="00E870FA" w:rsidRPr="00E870FA" w14:paraId="17D0055F" w14:textId="77777777" w:rsidTr="00E870FA">
        <w:trPr>
          <w:tblCellSpacing w:w="15" w:type="dxa"/>
        </w:trPr>
        <w:tc>
          <w:tcPr>
            <w:tcW w:w="0" w:type="auto"/>
            <w:hideMark/>
          </w:tcPr>
          <w:p w14:paraId="2FD41205" w14:textId="77777777" w:rsidR="00E870FA" w:rsidRPr="00E870FA" w:rsidRDefault="00E870FA" w:rsidP="00E870FA">
            <w:r w:rsidRPr="00E870FA">
              <w:t>(</w:t>
            </w:r>
            <w:r w:rsidRPr="00E870FA">
              <w:t>注２</w:t>
            </w:r>
            <w:r w:rsidRPr="00E870FA">
              <w:t>)</w:t>
            </w:r>
          </w:p>
        </w:tc>
        <w:tc>
          <w:tcPr>
            <w:tcW w:w="0" w:type="auto"/>
            <w:hideMark/>
          </w:tcPr>
          <w:p w14:paraId="75C42081" w14:textId="77777777" w:rsidR="00E870FA" w:rsidRPr="00E870FA" w:rsidRDefault="00E870FA" w:rsidP="00E870FA">
            <w:r w:rsidRPr="00E870FA">
              <w:t>事後調査</w:t>
            </w:r>
          </w:p>
        </w:tc>
        <w:tc>
          <w:tcPr>
            <w:tcW w:w="0" w:type="auto"/>
            <w:hideMark/>
          </w:tcPr>
          <w:p w14:paraId="001FFB24" w14:textId="77777777" w:rsidR="00E870FA" w:rsidRPr="00E870FA" w:rsidRDefault="00E870FA" w:rsidP="00E870FA">
            <w:r w:rsidRPr="00E870FA">
              <w:t>：</w:t>
            </w:r>
          </w:p>
        </w:tc>
        <w:tc>
          <w:tcPr>
            <w:tcW w:w="0" w:type="auto"/>
            <w:hideMark/>
          </w:tcPr>
          <w:p w14:paraId="65F2345F" w14:textId="77777777" w:rsidR="00E870FA" w:rsidRPr="00E870FA" w:rsidRDefault="00E870FA" w:rsidP="00E870FA">
            <w:r w:rsidRPr="00E870FA">
              <w:t>輸入貨物に係る関税等が適正に納税申告されていたかどうかを通関後に確認するための税務調査です。</w:t>
            </w:r>
          </w:p>
        </w:tc>
      </w:tr>
      <w:tr w:rsidR="00E870FA" w:rsidRPr="00E870FA" w14:paraId="3349A45E" w14:textId="77777777" w:rsidTr="00E870FA">
        <w:trPr>
          <w:tblCellSpacing w:w="15" w:type="dxa"/>
        </w:trPr>
        <w:tc>
          <w:tcPr>
            <w:tcW w:w="0" w:type="auto"/>
            <w:hideMark/>
          </w:tcPr>
          <w:p w14:paraId="226ABBBF" w14:textId="77777777" w:rsidR="00E870FA" w:rsidRPr="00E870FA" w:rsidRDefault="00E870FA" w:rsidP="00E870FA">
            <w:r w:rsidRPr="00E870FA">
              <w:t>(</w:t>
            </w:r>
            <w:r w:rsidRPr="00E870FA">
              <w:t>注３</w:t>
            </w:r>
            <w:r w:rsidRPr="00E870FA">
              <w:t>)</w:t>
            </w:r>
          </w:p>
        </w:tc>
        <w:tc>
          <w:tcPr>
            <w:tcW w:w="0" w:type="auto"/>
            <w:hideMark/>
          </w:tcPr>
          <w:p w14:paraId="73B144A2" w14:textId="77777777" w:rsidR="00E870FA" w:rsidRPr="00E870FA" w:rsidRDefault="00E870FA" w:rsidP="00E870FA">
            <w:r w:rsidRPr="00E870FA">
              <w:t>申告漏れ等</w:t>
            </w:r>
          </w:p>
        </w:tc>
        <w:tc>
          <w:tcPr>
            <w:tcW w:w="0" w:type="auto"/>
            <w:hideMark/>
          </w:tcPr>
          <w:p w14:paraId="72A2E82B" w14:textId="77777777" w:rsidR="00E870FA" w:rsidRPr="00E870FA" w:rsidRDefault="00E870FA" w:rsidP="00E870FA">
            <w:r w:rsidRPr="00E870FA">
              <w:t>：</w:t>
            </w:r>
          </w:p>
        </w:tc>
        <w:tc>
          <w:tcPr>
            <w:tcW w:w="0" w:type="auto"/>
            <w:hideMark/>
          </w:tcPr>
          <w:p w14:paraId="6EB1BA6C" w14:textId="77777777" w:rsidR="00E870FA" w:rsidRPr="00E870FA" w:rsidRDefault="00E870FA" w:rsidP="00E870FA">
            <w:r w:rsidRPr="00E870FA">
              <w:t>課税価格に申告漏れがあったものの他、適用税率に誤りがあったものも含みます。</w:t>
            </w:r>
          </w:p>
        </w:tc>
      </w:tr>
      <w:tr w:rsidR="00E870FA" w:rsidRPr="00E870FA" w14:paraId="3878993C" w14:textId="77777777" w:rsidTr="00E870FA">
        <w:trPr>
          <w:tblCellSpacing w:w="15" w:type="dxa"/>
        </w:trPr>
        <w:tc>
          <w:tcPr>
            <w:tcW w:w="0" w:type="auto"/>
            <w:hideMark/>
          </w:tcPr>
          <w:p w14:paraId="2B33699D" w14:textId="77777777" w:rsidR="00E870FA" w:rsidRPr="00E870FA" w:rsidRDefault="00E870FA" w:rsidP="00E870FA">
            <w:r w:rsidRPr="00E870FA">
              <w:t>(</w:t>
            </w:r>
            <w:r w:rsidRPr="00E870FA">
              <w:t>注４</w:t>
            </w:r>
            <w:r w:rsidRPr="00E870FA">
              <w:t>)</w:t>
            </w:r>
          </w:p>
        </w:tc>
        <w:tc>
          <w:tcPr>
            <w:tcW w:w="0" w:type="auto"/>
            <w:hideMark/>
          </w:tcPr>
          <w:p w14:paraId="6E67801A" w14:textId="77777777" w:rsidR="00E870FA" w:rsidRPr="00E870FA" w:rsidRDefault="00E870FA" w:rsidP="00E870FA">
            <w:r w:rsidRPr="00E870FA">
              <w:t>追徴税額</w:t>
            </w:r>
          </w:p>
        </w:tc>
        <w:tc>
          <w:tcPr>
            <w:tcW w:w="0" w:type="auto"/>
            <w:hideMark/>
          </w:tcPr>
          <w:p w14:paraId="13AA5E02" w14:textId="77777777" w:rsidR="00E870FA" w:rsidRPr="00E870FA" w:rsidRDefault="00E870FA" w:rsidP="00E870FA">
            <w:r w:rsidRPr="00E870FA">
              <w:t>：</w:t>
            </w:r>
          </w:p>
        </w:tc>
        <w:tc>
          <w:tcPr>
            <w:tcW w:w="0" w:type="auto"/>
            <w:hideMark/>
          </w:tcPr>
          <w:p w14:paraId="09E5303F" w14:textId="77777777" w:rsidR="00E870FA" w:rsidRPr="00E870FA" w:rsidRDefault="00E870FA" w:rsidP="00E870FA">
            <w:r w:rsidRPr="00E870FA">
              <w:t>納付不足税額と課税価格の申告額が過少であった場合等に課す加算税額とを合算したものをいいます。</w:t>
            </w:r>
          </w:p>
        </w:tc>
      </w:tr>
    </w:tbl>
    <w:p w14:paraId="059B5D0E" w14:textId="77777777" w:rsidR="00E870FA" w:rsidRPr="00E870FA" w:rsidRDefault="00E870FA" w:rsidP="00E870FA">
      <w:r w:rsidRPr="00E870FA">
        <w:t>【別添１】</w:t>
      </w:r>
      <w:hyperlink r:id="rId10" w:history="1">
        <w:r w:rsidRPr="00E870FA">
          <w:rPr>
            <w:rStyle w:val="a3"/>
          </w:rPr>
          <w:t>輸入事後調査の状況等</w:t>
        </w:r>
      </w:hyperlink>
    </w:p>
    <w:p w14:paraId="344D95CA" w14:textId="77777777" w:rsidR="00E870FA" w:rsidRPr="00E870FA" w:rsidRDefault="00E870FA" w:rsidP="00E870FA">
      <w:r w:rsidRPr="00E870FA">
        <w:t>【別添２】</w:t>
      </w:r>
      <w:hyperlink r:id="rId11" w:history="1">
        <w:r w:rsidRPr="00E870FA">
          <w:rPr>
            <w:rStyle w:val="a3"/>
          </w:rPr>
          <w:t>事後調査トピックス</w:t>
        </w:r>
        <w:r w:rsidRPr="00E870FA">
          <w:rPr>
            <w:rStyle w:val="a3"/>
          </w:rPr>
          <w:t>(PDF:133KB)</w:t>
        </w:r>
        <w:r w:rsidRPr="00E870FA">
          <w:rPr>
            <w:rStyle w:val="a3"/>
            <w:noProof/>
          </w:rPr>
          <w:drawing>
            <wp:inline distT="0" distB="0" distL="0" distR="0" wp14:anchorId="32778261" wp14:editId="2DD1804E">
              <wp:extent cx="133350" cy="152400"/>
              <wp:effectExtent l="0" t="0" r="0" b="0"/>
              <wp:docPr id="2" name="図 2" descr="https://www.mof.go.jp/common/images/icon_pdf.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mof.go.jp/common/images/icon_pdf.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hyperlink>
    </w:p>
    <w:p w14:paraId="1F782699" w14:textId="77777777" w:rsidR="00E870FA" w:rsidRPr="00E870FA" w:rsidRDefault="00000000" w:rsidP="00E870FA">
      <w:hyperlink r:id="rId13" w:history="1">
        <w:r w:rsidR="00E870FA" w:rsidRPr="00E870FA">
          <w:rPr>
            <w:rStyle w:val="a3"/>
          </w:rPr>
          <w:t>令和２事務年度の関税等の申告に係る輸入事後調査の結果（全体版）</w:t>
        </w:r>
        <w:r w:rsidR="00E870FA" w:rsidRPr="00E870FA">
          <w:rPr>
            <w:rStyle w:val="a3"/>
          </w:rPr>
          <w:t>(PDF:208KB)</w:t>
        </w:r>
        <w:r w:rsidR="00E870FA" w:rsidRPr="00E870FA">
          <w:rPr>
            <w:rStyle w:val="a3"/>
            <w:noProof/>
          </w:rPr>
          <w:drawing>
            <wp:inline distT="0" distB="0" distL="0" distR="0" wp14:anchorId="59340B99" wp14:editId="3CADCF90">
              <wp:extent cx="133350" cy="152400"/>
              <wp:effectExtent l="0" t="0" r="0" b="0"/>
              <wp:docPr id="1" name="図 1" descr="https://www.mof.go.jp/common/images/icon_pdf.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mof.go.jp/common/images/icon_pdf.gif">
                        <a:hlinkClick r:id="rId13"/>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hyperlink>
    </w:p>
    <w:p w14:paraId="5F6D889B" w14:textId="77777777" w:rsidR="00E870FA" w:rsidRPr="00E870FA" w:rsidRDefault="00E870FA" w:rsidP="00E870FA">
      <w:pPr>
        <w:rPr>
          <w:b/>
          <w:bCs/>
        </w:rPr>
      </w:pPr>
      <w:r w:rsidRPr="00E870FA">
        <w:rPr>
          <w:b/>
          <w:bCs/>
        </w:rPr>
        <w:t>問い合わせ先</w:t>
      </w:r>
    </w:p>
    <w:p w14:paraId="081E9806" w14:textId="77777777" w:rsidR="00E870FA" w:rsidRDefault="00E870FA">
      <w:pPr>
        <w:rPr>
          <w:lang w:eastAsia="zh-TW"/>
        </w:rPr>
      </w:pPr>
      <w:r w:rsidRPr="00E870FA">
        <w:rPr>
          <w:lang w:eastAsia="zh-TW"/>
        </w:rPr>
        <w:t xml:space="preserve">財務省関税局調査課　</w:t>
      </w:r>
      <w:r w:rsidRPr="00E870FA">
        <w:rPr>
          <w:lang w:eastAsia="zh-TW"/>
        </w:rPr>
        <w:t xml:space="preserve"> </w:t>
      </w:r>
      <w:r w:rsidRPr="00E870FA">
        <w:rPr>
          <w:lang w:eastAsia="zh-TW"/>
        </w:rPr>
        <w:t xml:space="preserve">代表　</w:t>
      </w:r>
      <w:r w:rsidRPr="00E870FA">
        <w:rPr>
          <w:lang w:eastAsia="zh-TW"/>
        </w:rPr>
        <w:t>03-3581-4111</w:t>
      </w:r>
      <w:r>
        <w:rPr>
          <w:rFonts w:hint="eastAsia"/>
          <w:lang w:eastAsia="zh-TW"/>
        </w:rPr>
        <w:t xml:space="preserve">　</w:t>
      </w:r>
      <w:r w:rsidRPr="00E870FA">
        <w:rPr>
          <w:lang w:eastAsia="zh-TW"/>
        </w:rPr>
        <w:t>（内線）</w:t>
      </w:r>
      <w:r w:rsidRPr="00E870FA">
        <w:rPr>
          <w:lang w:eastAsia="zh-TW"/>
        </w:rPr>
        <w:t>5396</w:t>
      </w:r>
    </w:p>
    <w:sectPr w:rsidR="00E870F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ambria"/>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C6DA5"/>
    <w:multiLevelType w:val="multilevel"/>
    <w:tmpl w:val="1E6EC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28249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0FA"/>
    <w:rsid w:val="001D3325"/>
    <w:rsid w:val="002C2607"/>
    <w:rsid w:val="0063245C"/>
    <w:rsid w:val="00C92939"/>
    <w:rsid w:val="00D80899"/>
    <w:rsid w:val="00E870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E58A54"/>
  <w15:chartTrackingRefBased/>
  <w15:docId w15:val="{86F9A391-7C89-4E12-B64D-D5CAC2D61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70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316369">
      <w:bodyDiv w:val="1"/>
      <w:marLeft w:val="0"/>
      <w:marRight w:val="0"/>
      <w:marTop w:val="0"/>
      <w:marBottom w:val="0"/>
      <w:divBdr>
        <w:top w:val="none" w:sz="0" w:space="0" w:color="auto"/>
        <w:left w:val="none" w:sz="0" w:space="0" w:color="auto"/>
        <w:bottom w:val="none" w:sz="0" w:space="0" w:color="auto"/>
        <w:right w:val="none" w:sz="0" w:space="0" w:color="auto"/>
      </w:divBdr>
      <w:divsChild>
        <w:div w:id="340207900">
          <w:marLeft w:val="0"/>
          <w:marRight w:val="0"/>
          <w:marTop w:val="0"/>
          <w:marBottom w:val="0"/>
          <w:divBdr>
            <w:top w:val="none" w:sz="0" w:space="0" w:color="auto"/>
            <w:left w:val="none" w:sz="0" w:space="0" w:color="auto"/>
            <w:bottom w:val="none" w:sz="0" w:space="0" w:color="auto"/>
            <w:right w:val="none" w:sz="0" w:space="0" w:color="auto"/>
          </w:divBdr>
          <w:divsChild>
            <w:div w:id="2046708575">
              <w:marLeft w:val="0"/>
              <w:marRight w:val="0"/>
              <w:marTop w:val="0"/>
              <w:marBottom w:val="0"/>
              <w:divBdr>
                <w:top w:val="none" w:sz="0" w:space="0" w:color="auto"/>
                <w:left w:val="none" w:sz="0" w:space="0" w:color="auto"/>
                <w:bottom w:val="none" w:sz="0" w:space="0" w:color="auto"/>
                <w:right w:val="none" w:sz="0" w:space="0" w:color="auto"/>
              </w:divBdr>
              <w:divsChild>
                <w:div w:id="990215812">
                  <w:marLeft w:val="0"/>
                  <w:marRight w:val="0"/>
                  <w:marTop w:val="480"/>
                  <w:marBottom w:val="0"/>
                  <w:divBdr>
                    <w:top w:val="none" w:sz="0" w:space="0" w:color="auto"/>
                    <w:left w:val="none" w:sz="0" w:space="0" w:color="auto"/>
                    <w:bottom w:val="none" w:sz="0" w:space="0" w:color="auto"/>
                    <w:right w:val="none" w:sz="0" w:space="0" w:color="auto"/>
                  </w:divBdr>
                </w:div>
                <w:div w:id="114211523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45108912">
          <w:marLeft w:val="0"/>
          <w:marRight w:val="0"/>
          <w:marTop w:val="0"/>
          <w:marBottom w:val="0"/>
          <w:divBdr>
            <w:top w:val="none" w:sz="0" w:space="0" w:color="auto"/>
            <w:left w:val="none" w:sz="0" w:space="0" w:color="auto"/>
            <w:bottom w:val="none" w:sz="0" w:space="0" w:color="auto"/>
            <w:right w:val="none" w:sz="0" w:space="0" w:color="auto"/>
          </w:divBdr>
        </w:div>
        <w:div w:id="152835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hyperlink" Target="https://www.mof.go.jp/policy/customs_tariff/trade/collection/ka20211110b3_all.pdf" TargetMode="Externa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6.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s://www.mof.go.jp/policy/customs_tariff/trade/collection/ka20211110b2_topics.pdf" TargetMode="External"/><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hyperlink" Target="https://www.mof.go.jp/policy/customs_tariff/trade/collection/ka20211110b1.htm" TargetMode="Externa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174</Words>
  <Characters>995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user03</dc:creator>
  <cp:keywords/>
  <dc:description/>
  <cp:lastModifiedBy>井上 JTIA</cp:lastModifiedBy>
  <cp:revision>3</cp:revision>
  <dcterms:created xsi:type="dcterms:W3CDTF">2023-06-20T07:46:00Z</dcterms:created>
  <dcterms:modified xsi:type="dcterms:W3CDTF">2023-06-20T09:06:00Z</dcterms:modified>
</cp:coreProperties>
</file>